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Prowadzenie i wypełnianie Książki Obiektu Budowlanego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Trzeba na bieżąco monitorować i kontrolować stan techniczny każdego obiektu budowlanego w celu nieustannego utrzymywania go w dobrym stanie technicznym, funkcjonalnym i estetycznym.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działaniom zapewnimy bezpieczeństwo osobom z niego korzystającym.</w:t>
      </w:r>
    </w:p>
    <w:p>
      <w:r>
        <w:rPr>
          <w:rFonts w:ascii="calibri" w:hAnsi="calibri" w:eastAsia="calibri" w:cs="calibri"/>
          <w:sz w:val="24"/>
          <w:szCs w:val="24"/>
        </w:rPr>
        <w:t xml:space="preserve">W powyższych czynnościach niezbędna jest prawidłowo prowadzona książka obiektu budowlanego.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publikacji skoncentrowaliśmy się na praktycznych aspektach obowiązków nałożonych na właściciela i zarządcę, wynikających z przepisów Prawa budowlanego, w tym na omówieniu obowiązkowych kontroli (które często w żargonie nazywane są „przeglądami”), oraz podaniu praktycznych wskazówek prowadzenia książki obiektu budowlanego.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znajdziesz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https://fabrykawiedzy.com/prowadzenie-i-wypelnianie-ksiazki-obiektu-budowlanego-2019.html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prowadzenie-i-wypelnianie-ksiazki-obiektu-budowlanego-2019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2026-09-16T17:50:20+02:00</dcterms:created>
  <dcterms:modified xsi:type="dcterms:W3CDTF">2026-09-16T17:50:20+02:00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