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Prowadzenie i wypełnianie Książki Obiektu Budowlanego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Trzeba na bieżąco monitorować i kontrolować stan techniczny każdego obiektu budowlanego w celu nieustannego utrzymywania go w dobrym stanie technicznym, funkcjonalnym i estetycznym.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działaniom zapewnimy bezpieczeństwo osobom z niego korzystającym.</w:t>
      </w:r>
    </w:p>
    <w:p>
      <w:r>
        <w:rPr>
          <w:rFonts w:ascii="calibri" w:hAnsi="calibri" w:eastAsia="calibri" w:cs="calibri"/>
          <w:sz w:val="24"/>
          <w:szCs w:val="24"/>
        </w:rPr>
        <w:t xml:space="preserve">W powyższych czynnościach niezbędna jest prawidłowo prowadzona książka obiektu budowlanego.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skoncentrowaliśmy się na praktycznych aspektach obowiązków nałożonych na właściciela i zarządcę, wynikających z przepisów Prawa budowlanego, w tym na omówieniu obowiązkowych kontroli (które często w żargonie nazywane są „przeglądami”), oraz podaniu praktycznych wskazówek prowadzenia książki obiektu budowlanego.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https://fabrykawiedzy.com/prowadzenie-i-wypelnianie-ksiazki-obiektu-budowlanego-2019.html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owadzenie-i-wypelnianie-ksiazki-obiektu-budowlanego-201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2025-12-05T19:16:09+01:00</dcterms:created>
  <dcterms:modified xsi:type="dcterms:W3CDTF">2025-12-05T19:16:09+01:00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