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efektywnie projekty unijne w systemie SL2014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Usprawnij swoją pracę i sprawdź, jak unikać pomyłek w centralnym systemie rozliczeniowym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zajmujących się funduszami unijnymi korzysta z systemu teleinformatycznego SL2014. Służy on zarówno do komunikacji pomiędzy jednostką korzystającą z dotacji a instytucją pośredniczącą, jak i do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wniosków o płatność</w:t>
      </w:r>
      <w:r>
        <w:rPr>
          <w:rFonts w:ascii="calibri" w:hAnsi="calibri" w:eastAsia="calibri" w:cs="calibri"/>
          <w:sz w:val="24"/>
          <w:szCs w:val="24"/>
        </w:rPr>
        <w:t xml:space="preserve">. Ci którzy mieli okazję zetknąć się z tym systemie z pewnością zgodzą się, że nie jest to narzędzie intuicyjne, umożliwiające swobodne 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Zetknięcie z SL2014 często okazuje się bolesne</w:t>
      </w:r>
      <w:r>
        <w:rPr>
          <w:rFonts w:ascii="calibri" w:hAnsi="calibri" w:eastAsia="calibri" w:cs="calibri"/>
          <w:sz w:val="24"/>
          <w:szCs w:val="24"/>
        </w:rPr>
        <w:t xml:space="preserve">, a dotkliwość tej sytuacji jest odczuwalna tym bardziej, że tego systemu po prostu nie sposób ominąć. Z tego względu warto poświęcić trochę czasu, aby poznać go możliwie dobrze. Z pewnością dzięki temu uda Ci się uniknąć wielu złych emocji podczas rozliczania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na własnych błędach jest cenna, choć bywa kosztowna. Znacznie lepiej wyciągać wnioski z błędów popełnionych przez innych. Dlatego zachęcam Cię do sięgnięcia po poradnik „Rozliczaj efektywnie projekty unijne w systemie SL2014”, w którym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wiele porad oraz ostrzeżeń </w:t>
      </w:r>
      <w:r>
        <w:rPr>
          <w:rFonts w:ascii="calibri" w:hAnsi="calibri" w:eastAsia="calibri" w:cs="calibri"/>
          <w:sz w:val="24"/>
          <w:szCs w:val="24"/>
        </w:rPr>
        <w:t xml:space="preserve">sformułowanych przez naszego eksperta. Zdecydowana większość z nich to tak naprawdę wnioski płynące z doświadczenia licznych beneficjentów korzystających z SL2014.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Weronika Burman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https://fabrykawiedzy.com/rozliczaj-efektywnie-projekty-unijne-w-systemie-sl-2014.html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liczaj-efektywnie-projekty-unijne-w-systemie-sl-201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2026-04-02T01:10:37+02:00</dcterms:created>
  <dcterms:modified xsi:type="dcterms:W3CDTF">2026-04-02T01:10:37+02:00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