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do ustawy o VAT – stan prawny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publikacja to kompleksowy komentarz. Gruntownej analizie poddano przepisy ustawy o podatku od towarów i usług. Szczególnie wnikliwie zostały omówione te z nich, które w praktyce stosowania ustawy o VAT wywołują największe trudności i kontrowersje.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Tam, gdzie to konieczne, autorka odwołuje się do aktów wykonawczych oraz przepisów prawa unijnego. Analiza przepisów podparta jest również bogatym orzecznictwem zarówno polskich sądów administracyjnych, jak i Trybunału Sprawiedliwości UE. W komentarzu zostały uwzględnione oraz szczegółowo omówione najnowsze zmiany w ustawie o podatku od towarów i usług, obowiązujące od 1 stycznia 2019 r., jak również zmiany, które wejdą w życie w trakcie roku (lub z początkiem 2020 roku).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niezwykle obszernej i szczegółowej publikacji Czytelnik znajdzie: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 omówienie wszystkich elementów konstrukcyjnych podatku od towarów i usług</w:t>
      </w:r>
    </w:p>
    <w:p>
      <w:r>
        <w:rPr>
          <w:rFonts w:ascii="calibri" w:hAnsi="calibri" w:eastAsia="calibri" w:cs="calibri"/>
          <w:sz w:val="24"/>
          <w:szCs w:val="24"/>
        </w:rPr>
        <w:t xml:space="preserve"> (przedmiot opodatkowania, podstawa opodatkowania, obowiązek podatkowy, stawki podatku, odliczenia, zwolnienia),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bogate orzecznictwo zarówno sądów polskich, jak i Trybunału Sprawiedliwości UE,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 omówienie przepisów, które weszły w życie z początkiem 2019 roku, ze wskazaniem ich skutków praktycznych,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sprawdzone argumenty merytoryczne gotowe do natychmiastowego zastosowania w sporze z organami skarbowymi.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przeznaczony jest zarówno dla doradców podatkowych oraz właścicieli biur rachunkowych, jak i dla pracowników działów finansowo-księgowych, adwokatów, radców prawnych</w:t>
      </w:r>
    </w:p>
    <w:p>
      <w:r>
        <w:rPr>
          <w:rFonts w:ascii="calibri" w:hAnsi="calibri" w:eastAsia="calibri" w:cs="calibri"/>
          <w:sz w:val="24"/>
          <w:szCs w:val="24"/>
        </w:rPr>
        <w:t xml:space="preserve"> i pracowników organów podatkowych.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https://fabrykawiedzy.com/komentarz-do-ustawy-o-vat-stan-prawny-2019-r.html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komentarz-do-ustawy-o-vat-stan-prawny-2019-r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2026-10-22T04:03:40+02:00</dcterms:created>
  <dcterms:modified xsi:type="dcterms:W3CDTF">2026-10-22T04:03:40+02:00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