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do ustawy o VAT – stan prawny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 publikacja to kompleksowy komentarz. Gruntownej analizie poddano przepisy ustawy o podatku od towarów i usług. Szczególnie wnikliwie zostały omówione te z nich, które w praktyce stosowania ustawy o VAT wywołują największe trudności i kontrowersje.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Tam, gdzie to konieczne, autorka odwołuje się do aktów wykonawczych oraz przepisów prawa unijnego. Analiza przepisów podparta jest również bogatym orzecznictwem zarówno polskich sądów administracyjnych, jak i Trybunału Sprawiedliwości UE. W komentarzu zostały uwzględnione oraz szczegółowo omówione najnowsze zmiany w ustawie o podatku od towarów i usług, obowiązujące od 1 stycznia 2019 r., jak również zmiany, które wejdą w życie w trakcie roku (lub z początkiem 2020 roku).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niezwykle obszernej i szczegółowej publikacji Czytelnik znajdzie: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kompleksowe omówienie wszystkich elementów konstrukcyjnych podatku od towarów i usług</w:t>
      </w:r>
    </w:p>
    <w:p>
      <w:r>
        <w:rPr>
          <w:rFonts w:ascii="calibri" w:hAnsi="calibri" w:eastAsia="calibri" w:cs="calibri"/>
          <w:sz w:val="24"/>
          <w:szCs w:val="24"/>
        </w:rPr>
        <w:t xml:space="preserve"> (przedmiot opodatkowania, podstawa opodatkowania, obowiązek podatkowy, stawki podatku, odliczenia, zwolnienia),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bogate orzecznictwo zarówno sądów polskich, jak i Trybunału Sprawiedliwości UE,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kompleksowe omówienie przepisów, które weszły w życie z początkiem 2019 roku, ze wskazaniem ich skutków praktycznych,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sprawdzone argumenty merytoryczne gotowe do natychmiastowego zastosowania w sporze z organami skarbowymi.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przeznaczony jest zarówno dla doradców podatkowych oraz właścicieli biur rachunkowych, jak i dla pracowników działów finansowo-księgowych, adwokatów, radców prawnych</w:t>
      </w:r>
    </w:p>
    <w:p>
      <w:r>
        <w:rPr>
          <w:rFonts w:ascii="calibri" w:hAnsi="calibri" w:eastAsia="calibri" w:cs="calibri"/>
          <w:sz w:val="24"/>
          <w:szCs w:val="24"/>
        </w:rPr>
        <w:t xml:space="preserve"> i pracowników organów podatkowych.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https://fabrykawiedzy.com/komentarz-do-ustawy-o-vat-stan-prawny-2019-r.html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komentarz-do-ustawy-o-vat-stan-prawny-2019-r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2026-08-27T14:35:42+02:00</dcterms:created>
  <dcterms:modified xsi:type="dcterms:W3CDTF">2026-08-27T14:35:42+02:00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