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zawodowy w 18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 dla wszystkich dyrektorów placówek oświatowych, którzy mają wśród swoich pracowników nauczycieli ubiegających się o kolejne stopnie awansu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Rewolucyjne zmiany w zakresie awansu zawodowego oraz oceny pracy nauczyciela i dyrektora wynikają zarówno ze znowelizowanych przepisów Karty Nauczyciela, jak i nowych rozporządzeń w sprawie uzyskiwania stopni awansu zawodowego przez nauczycieli i w sprawie szczegółowych kryteriów i trybu dokonywania oceny pracy nauczycieli szkół artystycznych, zakresu informacji zawartych w karcie oceny pracy, składu i sposobu powoływania zespołu oceniającego oraz trybu postępowania odwoławczego.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stanowi </w:t>
      </w:r>
      <w:r>
        <w:rPr>
          <w:rFonts w:ascii="calibri" w:hAnsi="calibri" w:eastAsia="calibri" w:cs="calibri"/>
          <w:sz w:val="24"/>
          <w:szCs w:val="24"/>
          <w:b/>
        </w:rPr>
        <w:t xml:space="preserve">kompendium wiedzy na temat awansu zawodowego nauczycieli</w:t>
      </w:r>
      <w:r>
        <w:rPr>
          <w:rFonts w:ascii="calibri" w:hAnsi="calibri" w:eastAsia="calibri" w:cs="calibri"/>
          <w:sz w:val="24"/>
          <w:szCs w:val="24"/>
        </w:rPr>
        <w:t xml:space="preserve"> po 1 stycznia 2019 r. z uwzględnieniem sytuacji, w których należy stosować stare zasady. Autorzy krok po kroku omówili wszystkie obowiązki dyrektora szkoły, uwzględniając każdy etap postępowania i wyjaśniając najtrudniejsze zagadnienia, a ponadto szczególną uwagę zwrócili na te etapy, w których należy ustalić ocenę pracy (lub dorobku zawodowego) oraz powołać komisję egzaminacyjną dla nauczyciela ubiegającego się o stopień nauczyciela kontraktowego.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 z praktyki oraz wskazówki specjalistów</w:t>
      </w:r>
      <w:r>
        <w:rPr>
          <w:rFonts w:ascii="calibri" w:hAnsi="calibri" w:eastAsia="calibri" w:cs="calibri"/>
          <w:sz w:val="24"/>
          <w:szCs w:val="24"/>
        </w:rPr>
        <w:t xml:space="preserve"> pomogą dyrektorom znaleźć rozwiązania najtrudniejszych problemów. W książce uwzględniono także konieczność omówienia </w:t>
      </w:r>
      <w:r>
        <w:rPr>
          <w:rFonts w:ascii="calibri" w:hAnsi="calibri" w:eastAsia="calibri" w:cs="calibri"/>
          <w:sz w:val="24"/>
          <w:szCs w:val="24"/>
          <w:b/>
        </w:rPr>
        <w:t xml:space="preserve">przepisów przejściowych</w:t>
      </w:r>
      <w:r>
        <w:rPr>
          <w:rFonts w:ascii="calibri" w:hAnsi="calibri" w:eastAsia="calibri" w:cs="calibri"/>
          <w:sz w:val="24"/>
          <w:szCs w:val="24"/>
        </w:rPr>
        <w:t xml:space="preserve">, które mają zastosowanie do nauczycieli, którzy staże na kolejny stopień awansu zawodowego rozpoczęli w poprzednim reżimie prawnym.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publikacji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zamówisz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https://fabrykawiedzy.com/awans-zawodowy-w-18-krokach-na-starych-i-nowych-zasadach-poradnik-dyrektora-szkoly.html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awans-zawodowy-w-18-krokach-na-starych-i-nowych-zasadach-poradnik-dyrektora-szkoly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2026-05-16T00:50:35+02:00</dcterms:created>
  <dcterms:modified xsi:type="dcterms:W3CDTF">2026-05-16T00:50:35+02:00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