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budowlanym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budowlane poddawane jest ciągłej optymalizacji. W ciągu roku pojawi się od kilku do kilkunastu zmian w ustawie. Trzeba też pamiętać, że ustawodawca ciągle pracuje na rewolucją w prawie budowlanym – jej ostateczny kształt nadal nie jest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w przepisach może wejść w każdej chwili. Trzeba być na to gotowym.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przedstawiamy obowiązujące już zmiany w prawie budowlanym.</w:t>
      </w:r>
    </w:p>
    <w:p>
      <w:r>
        <w:rPr>
          <w:rFonts w:ascii="calibri" w:hAnsi="calibri" w:eastAsia="calibri" w:cs="calibri"/>
          <w:sz w:val="24"/>
          <w:szCs w:val="24"/>
        </w:rPr>
        <w:t xml:space="preserve"> Publikacja skierowana jest do wszystkich podmiotów procesu budowlanego: inwestorów, kierowników budowy, projektantów, a także dla zarządców nieruchomości i geodetów.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„Zmiany w prawie budowlanym 2019”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omówienie nowych przepisów wprowadzonych nowelizacją rozporządzenia w sprawie warunków technicznych, jakim powinny odpowiadać budynki i ich usytuowanie.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m.in. wymiaru powierzchni użytkowej mieszkania i zmian w zakresie jego organizacji, lokalizacji niektórych budynków względem lasu, sytuowania budynku względem granic działki.</w:t>
      </w:r>
    </w:p>
    <w:p>
      <w:r>
        <w:rPr>
          <w:rFonts w:ascii="calibri" w:hAnsi="calibri" w:eastAsia="calibri" w:cs="calibri"/>
          <w:sz w:val="24"/>
          <w:szCs w:val="24"/>
        </w:rPr>
        <w:t xml:space="preserve"> Bardzo istotne zmiany weszły także w ramach nowego prawa wodnego.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https://fabrykawiedzy.com/zmiany-w-prawie-budowlanym-2019.html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miany-w-prawie-budowlanym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2026-03-26T11:07:41+01:00</dcterms:created>
  <dcterms:modified xsi:type="dcterms:W3CDTF">2026-03-26T11:07:41+01:00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